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0777E" w:rsidRDefault="005B4021" w:rsidP="0060777E">
            <w:pPr>
              <w:shd w:val="clear" w:color="auto" w:fill="FFFFFF"/>
              <w:rPr>
                <w:rFonts w:ascii="Calibri" w:hAnsi="Calibri"/>
                <w:sz w:val="24"/>
                <w:szCs w:val="24"/>
              </w:rPr>
            </w:pPr>
            <w:bookmarkStart w:id="0" w:name="_GoBack"/>
            <w:r>
              <w:rPr>
                <w:sz w:val="20"/>
                <w:szCs w:val="20"/>
              </w:rPr>
              <w:t>Kids WB</w:t>
            </w:r>
            <w:r w:rsidR="00877E4F">
              <w:rPr>
                <w:sz w:val="20"/>
                <w:szCs w:val="20"/>
              </w:rPr>
              <w:t xml:space="preserve"> </w:t>
            </w:r>
            <w:r w:rsidR="008023F7" w:rsidRPr="008023F7">
              <w:rPr>
                <w:sz w:val="20"/>
                <w:szCs w:val="20"/>
              </w:rPr>
              <w:t xml:space="preserve">– </w:t>
            </w:r>
            <w:r w:rsidR="00943352" w:rsidRPr="00943352">
              <w:rPr>
                <w:sz w:val="20"/>
                <w:szCs w:val="20"/>
              </w:rPr>
              <w:t>Win a Toy Story Prize Pack</w:t>
            </w:r>
            <w:bookmarkEnd w:id="0"/>
          </w:p>
        </w:tc>
      </w:tr>
      <w:tr w:rsidR="001C41BC" w:rsidRPr="006F717F" w:rsidTr="00943352">
        <w:trPr>
          <w:trHeight w:val="562"/>
        </w:trPr>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943352">
              <w:rPr>
                <w:sz w:val="20"/>
                <w:szCs w:val="20"/>
              </w:rPr>
              <w:t>03</w:t>
            </w:r>
            <w:r w:rsidR="006E1FC4">
              <w:rPr>
                <w:sz w:val="20"/>
                <w:szCs w:val="20"/>
              </w:rPr>
              <w:t>/</w:t>
            </w:r>
            <w:r w:rsidR="00943352">
              <w:rPr>
                <w:sz w:val="20"/>
                <w:szCs w:val="20"/>
              </w:rPr>
              <w:t>06</w:t>
            </w:r>
            <w:r w:rsidR="009246A3">
              <w:rPr>
                <w:sz w:val="20"/>
                <w:szCs w:val="20"/>
              </w:rPr>
              <w:t>/19</w:t>
            </w:r>
            <w:r w:rsidR="005911CC">
              <w:rPr>
                <w:sz w:val="20"/>
                <w:szCs w:val="20"/>
              </w:rPr>
              <w:t xml:space="preserve"> at </w:t>
            </w:r>
            <w:r w:rsidR="00877E4F">
              <w:rPr>
                <w:sz w:val="20"/>
                <w:szCs w:val="20"/>
              </w:rPr>
              <w:t>3:30pm</w:t>
            </w:r>
            <w:r w:rsidR="00A84DED">
              <w:rPr>
                <w:sz w:val="20"/>
                <w:szCs w:val="20"/>
              </w:rPr>
              <w:t xml:space="preserve"> AES</w:t>
            </w:r>
            <w:r w:rsidR="0012178E">
              <w:rPr>
                <w:sz w:val="20"/>
                <w:szCs w:val="20"/>
              </w:rPr>
              <w:t>T</w:t>
            </w:r>
          </w:p>
          <w:p w:rsidR="00E9783D" w:rsidRPr="006F717F" w:rsidRDefault="00463CB7" w:rsidP="00E9783D">
            <w:pPr>
              <w:rPr>
                <w:sz w:val="20"/>
                <w:szCs w:val="20"/>
              </w:rPr>
            </w:pPr>
            <w:r>
              <w:rPr>
                <w:b/>
                <w:sz w:val="20"/>
                <w:szCs w:val="20"/>
              </w:rPr>
              <w:t xml:space="preserve">End date: </w:t>
            </w:r>
            <w:r w:rsidR="00943352">
              <w:rPr>
                <w:sz w:val="20"/>
                <w:szCs w:val="20"/>
              </w:rPr>
              <w:t>10/06</w:t>
            </w:r>
            <w:r w:rsidR="00877E4F">
              <w:rPr>
                <w:sz w:val="20"/>
                <w:szCs w:val="20"/>
              </w:rPr>
              <w:t xml:space="preserve">/19 </w:t>
            </w:r>
            <w:r w:rsidR="00E13E32">
              <w:rPr>
                <w:sz w:val="20"/>
                <w:szCs w:val="20"/>
              </w:rPr>
              <w:t xml:space="preserve">at </w:t>
            </w:r>
            <w:r w:rsidR="00877E4F">
              <w:rPr>
                <w:sz w:val="20"/>
                <w:szCs w:val="20"/>
              </w:rPr>
              <w:t>9:00am</w:t>
            </w:r>
            <w:r w:rsidR="00A9158E">
              <w:rPr>
                <w:sz w:val="20"/>
                <w:szCs w:val="20"/>
              </w:rPr>
              <w:t xml:space="preserve"> AE</w:t>
            </w:r>
            <w:r w:rsidR="00A84DED">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877E4F">
              <w:rPr>
                <w:sz w:val="20"/>
                <w:szCs w:val="20"/>
              </w:rPr>
              <w:t>tell us in</w:t>
            </w:r>
            <w:r w:rsidR="000C6C5E">
              <w:rPr>
                <w:sz w:val="20"/>
                <w:szCs w:val="20"/>
              </w:rPr>
              <w:t xml:space="preserve"> 25 words or</w:t>
            </w:r>
            <w:r w:rsidR="002D64AC">
              <w:rPr>
                <w:sz w:val="20"/>
                <w:szCs w:val="20"/>
              </w:rPr>
              <w:t xml:space="preserve"> </w:t>
            </w:r>
            <w:r w:rsidR="00943352" w:rsidRPr="00943352">
              <w:rPr>
                <w:sz w:val="20"/>
                <w:szCs w:val="20"/>
              </w:rPr>
              <w:t>Who is you favourite character from Toy Story and why</w:t>
            </w:r>
            <w:r w:rsidR="00E9783D" w:rsidRPr="00A84DED">
              <w:rPr>
                <w:sz w:val="20"/>
                <w:szCs w:val="20"/>
              </w:rPr>
              <w:t>?</w:t>
            </w:r>
            <w:r w:rsidRPr="00A84DED">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943352" w:rsidRPr="0095308C" w:rsidRDefault="0012178E" w:rsidP="00943352">
            <w:pPr>
              <w:rPr>
                <w:sz w:val="20"/>
                <w:szCs w:val="20"/>
              </w:rPr>
            </w:pPr>
            <w:r>
              <w:rPr>
                <w:sz w:val="20"/>
                <w:szCs w:val="20"/>
              </w:rPr>
              <w:t>$</w:t>
            </w:r>
            <w:r w:rsidR="00943352">
              <w:rPr>
                <w:sz w:val="20"/>
                <w:szCs w:val="20"/>
              </w:rPr>
              <w:t>120.00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81"/>
              <w:gridCol w:w="1554"/>
              <w:gridCol w:w="1354"/>
              <w:gridCol w:w="4313"/>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943352" w:rsidRPr="00943352" w:rsidRDefault="00943352" w:rsidP="00943352">
                  <w:pPr>
                    <w:pStyle w:val="ListParagraph"/>
                    <w:numPr>
                      <w:ilvl w:val="0"/>
                      <w:numId w:val="20"/>
                    </w:numPr>
                    <w:shd w:val="clear" w:color="auto" w:fill="FFFFFF"/>
                    <w:rPr>
                      <w:sz w:val="20"/>
                      <w:szCs w:val="20"/>
                    </w:rPr>
                  </w:pPr>
                  <w:r w:rsidRPr="00943352">
                    <w:rPr>
                      <w:sz w:val="20"/>
                      <w:szCs w:val="20"/>
                    </w:rPr>
                    <w:t>1 x B</w:t>
                  </w:r>
                  <w:r w:rsidRPr="00943352">
                    <w:rPr>
                      <w:sz w:val="20"/>
                      <w:szCs w:val="20"/>
                    </w:rPr>
                    <w:t>uzz Lightyear Doll (RRP $40.00)</w:t>
                  </w:r>
                </w:p>
                <w:p w:rsidR="00943352" w:rsidRPr="00943352" w:rsidRDefault="00943352" w:rsidP="00943352">
                  <w:pPr>
                    <w:pStyle w:val="ListParagraph"/>
                    <w:numPr>
                      <w:ilvl w:val="0"/>
                      <w:numId w:val="20"/>
                    </w:numPr>
                    <w:shd w:val="clear" w:color="auto" w:fill="FFFFFF"/>
                    <w:rPr>
                      <w:sz w:val="20"/>
                      <w:szCs w:val="20"/>
                    </w:rPr>
                  </w:pPr>
                  <w:r w:rsidRPr="00943352">
                    <w:rPr>
                      <w:sz w:val="20"/>
                      <w:szCs w:val="20"/>
                    </w:rPr>
                    <w:t>1 x Woody Doll (RRP $40.00)</w:t>
                  </w:r>
                </w:p>
                <w:p w:rsidR="005462B9" w:rsidRPr="00943352" w:rsidRDefault="00943352" w:rsidP="00943352">
                  <w:pPr>
                    <w:pStyle w:val="ListParagraph"/>
                    <w:numPr>
                      <w:ilvl w:val="0"/>
                      <w:numId w:val="20"/>
                    </w:numPr>
                    <w:shd w:val="clear" w:color="auto" w:fill="FFFFFF"/>
                    <w:rPr>
                      <w:sz w:val="20"/>
                      <w:szCs w:val="20"/>
                    </w:rPr>
                  </w:pPr>
                  <w:r w:rsidRPr="00943352">
                    <w:rPr>
                      <w:sz w:val="20"/>
                      <w:szCs w:val="20"/>
                    </w:rPr>
                    <w:t xml:space="preserve">1 x Jessie Doll (RRP $40.00) </w:t>
                  </w:r>
                </w:p>
              </w:tc>
              <w:tc>
                <w:tcPr>
                  <w:tcW w:w="1578" w:type="dxa"/>
                </w:tcPr>
                <w:p w:rsidR="00AC2C42" w:rsidRPr="00257B6E" w:rsidRDefault="00AC2C42" w:rsidP="00CA7A2A">
                  <w:pPr>
                    <w:rPr>
                      <w:i/>
                      <w:sz w:val="20"/>
                      <w:szCs w:val="20"/>
                    </w:rPr>
                  </w:pPr>
                  <w:r w:rsidRPr="00E13E32">
                    <w:rPr>
                      <w:sz w:val="20"/>
                      <w:szCs w:val="20"/>
                    </w:rPr>
                    <w:t>Judging</w:t>
                  </w:r>
                  <w:r w:rsidR="00943352">
                    <w:rPr>
                      <w:sz w:val="20"/>
                      <w:szCs w:val="20"/>
                    </w:rPr>
                    <w:t xml:space="preserve"> on 10/06</w:t>
                  </w:r>
                  <w:r w:rsidR="009246A3">
                    <w:rPr>
                      <w:sz w:val="20"/>
                      <w:szCs w:val="20"/>
                    </w:rPr>
                    <w:t>/19</w:t>
                  </w:r>
                  <w:r w:rsidR="00A84DED">
                    <w:rPr>
                      <w:sz w:val="20"/>
                      <w:szCs w:val="20"/>
                    </w:rPr>
                    <w:t xml:space="preserve"> at 11:00am AES</w:t>
                  </w:r>
                  <w:r w:rsidRPr="00E13E32">
                    <w:rPr>
                      <w:sz w:val="20"/>
                      <w:szCs w:val="20"/>
                    </w:rPr>
                    <w:t>T</w:t>
                  </w:r>
                </w:p>
              </w:tc>
              <w:tc>
                <w:tcPr>
                  <w:tcW w:w="1373" w:type="dxa"/>
                </w:tcPr>
                <w:p w:rsidR="00AC2C42" w:rsidRPr="006F717F" w:rsidRDefault="00E9783D"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w:t>
            </w:r>
            <w:r w:rsidR="00E9783D">
              <w:rPr>
                <w:sz w:val="20"/>
                <w:szCs w:val="20"/>
              </w:rPr>
              <w:t xml:space="preserve"> </w:t>
            </w:r>
            <w:r w:rsidRPr="006F717F">
              <w:rPr>
                <w:sz w:val="20"/>
                <w:szCs w:val="20"/>
              </w:rPr>
              <w:t>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E9783D">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E9783D">
        <w:rPr>
          <w:sz w:val="20"/>
          <w:szCs w:val="20"/>
        </w:rPr>
        <w:t>one (1)</w:t>
      </w:r>
      <w:r w:rsidR="00825274">
        <w:rPr>
          <w:sz w:val="20"/>
          <w:szCs w:val="20"/>
        </w:rPr>
        <w:t xml:space="preserve"> </w:t>
      </w:r>
      <w:r w:rsidR="00E9783D">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E9783D">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943352">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F700F4"/>
    <w:multiLevelType w:val="hybridMultilevel"/>
    <w:tmpl w:val="8766D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6"/>
  </w:num>
  <w:num w:numId="13">
    <w:abstractNumId w:val="12"/>
  </w:num>
  <w:num w:numId="14">
    <w:abstractNumId w:val="15"/>
  </w:num>
  <w:num w:numId="15">
    <w:abstractNumId w:val="15"/>
    <w:lvlOverride w:ilvl="0">
      <w:startOverride w:val="1"/>
    </w:lvlOverride>
  </w:num>
  <w:num w:numId="16">
    <w:abstractNumId w:val="15"/>
    <w:lvlOverride w:ilvl="0">
      <w:startOverride w:val="1"/>
    </w:lvlOverride>
  </w:num>
  <w:num w:numId="17">
    <w:abstractNumId w:val="9"/>
  </w:num>
  <w:num w:numId="18">
    <w:abstractNumId w:val="14"/>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C6C5E"/>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D64AC"/>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0777E"/>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77E4F"/>
    <w:rsid w:val="00886FB5"/>
    <w:rsid w:val="008B4840"/>
    <w:rsid w:val="008C1DB6"/>
    <w:rsid w:val="00905C6E"/>
    <w:rsid w:val="009246A3"/>
    <w:rsid w:val="00943352"/>
    <w:rsid w:val="0095308C"/>
    <w:rsid w:val="00A14F4A"/>
    <w:rsid w:val="00A20F33"/>
    <w:rsid w:val="00A4549D"/>
    <w:rsid w:val="00A77707"/>
    <w:rsid w:val="00A84DED"/>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05381"/>
    <w:rsid w:val="00C553A7"/>
    <w:rsid w:val="00C638BD"/>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7B00"/>
    <w:rsid w:val="00E9783D"/>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3A5BC"/>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60586040">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1957553">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91112501">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38593225">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26087840">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479607927">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68386813">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8AE0-3F07-49DA-9A7F-3E9A63FE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2019-05-28T23:22:00Z</dcterms:created>
  <dcterms:modified xsi:type="dcterms:W3CDTF">2019-05-28T23:22:00Z</dcterms:modified>
</cp:coreProperties>
</file>